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3BE0D" w14:textId="77777777" w:rsidR="00FE75ED" w:rsidRDefault="00D72965" w:rsidP="00D72965">
      <w:pPr>
        <w:pStyle w:val="Title"/>
        <w:tabs>
          <w:tab w:val="left" w:pos="2400"/>
          <w:tab w:val="center" w:pos="4680"/>
        </w:tabs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</w:p>
    <w:p w14:paraId="380EB364" w14:textId="77777777" w:rsidR="00DC32B8" w:rsidRPr="00D72965" w:rsidRDefault="00FE75ED" w:rsidP="00D72965">
      <w:pPr>
        <w:pStyle w:val="Title"/>
        <w:tabs>
          <w:tab w:val="left" w:pos="2400"/>
          <w:tab w:val="center" w:pos="4680"/>
        </w:tabs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="00B11A34" w:rsidRPr="00D72965">
        <w:rPr>
          <w:b/>
          <w:sz w:val="32"/>
        </w:rPr>
        <w:t>Attachment G</w:t>
      </w:r>
    </w:p>
    <w:p w14:paraId="2704E5C9" w14:textId="77777777" w:rsidR="003527E8" w:rsidRPr="00427077" w:rsidRDefault="004260BC" w:rsidP="004260BC">
      <w:pPr>
        <w:pStyle w:val="Title"/>
        <w:tabs>
          <w:tab w:val="left" w:pos="789"/>
          <w:tab w:val="center" w:pos="4680"/>
        </w:tabs>
        <w:rPr>
          <w:b/>
          <w:caps/>
          <w:sz w:val="40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DC32B8" w:rsidRPr="00427077">
        <w:rPr>
          <w:b/>
          <w:sz w:val="22"/>
        </w:rPr>
        <w:t xml:space="preserve">Schedule of Reports and Deliverables 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2070"/>
        <w:gridCol w:w="6660"/>
        <w:gridCol w:w="2070"/>
      </w:tblGrid>
      <w:tr w:rsidR="00DC32B8" w14:paraId="56E4D05A" w14:textId="77777777" w:rsidTr="00E17B5F">
        <w:trPr>
          <w:tblHeader/>
        </w:trPr>
        <w:tc>
          <w:tcPr>
            <w:tcW w:w="2070" w:type="dxa"/>
            <w:shd w:val="clear" w:color="auto" w:fill="FDE9D9" w:themeFill="accent6" w:themeFillTint="33"/>
          </w:tcPr>
          <w:p w14:paraId="01F01D6D" w14:textId="77777777" w:rsidR="004260BC" w:rsidRDefault="00DC32B8" w:rsidP="00DC32B8">
            <w:pPr>
              <w:rPr>
                <w:b/>
              </w:rPr>
            </w:pPr>
            <w:r>
              <w:rPr>
                <w:b/>
              </w:rPr>
              <w:t>REPORT/</w:t>
            </w:r>
          </w:p>
          <w:p w14:paraId="73A5840F" w14:textId="77777777" w:rsidR="00DC32B8" w:rsidRPr="00DC32B8" w:rsidRDefault="00DC32B8" w:rsidP="00DC32B8">
            <w:pPr>
              <w:rPr>
                <w:b/>
              </w:rPr>
            </w:pPr>
            <w:r>
              <w:rPr>
                <w:b/>
              </w:rPr>
              <w:t>DELIVERABLE</w:t>
            </w:r>
          </w:p>
        </w:tc>
        <w:tc>
          <w:tcPr>
            <w:tcW w:w="6660" w:type="dxa"/>
            <w:shd w:val="clear" w:color="auto" w:fill="FDE9D9" w:themeFill="accent6" w:themeFillTint="33"/>
          </w:tcPr>
          <w:p w14:paraId="2FC82CC3" w14:textId="77777777" w:rsidR="00DC32B8" w:rsidRPr="00DC32B8" w:rsidRDefault="00DC32B8" w:rsidP="00BB0325">
            <w:pPr>
              <w:jc w:val="center"/>
              <w:rPr>
                <w:b/>
              </w:rPr>
            </w:pPr>
            <w:r w:rsidRPr="00DC32B8">
              <w:rPr>
                <w:b/>
              </w:rPr>
              <w:t>DESCRIPTION</w:t>
            </w:r>
          </w:p>
        </w:tc>
        <w:tc>
          <w:tcPr>
            <w:tcW w:w="2070" w:type="dxa"/>
            <w:shd w:val="clear" w:color="auto" w:fill="FDE9D9" w:themeFill="accent6" w:themeFillTint="33"/>
          </w:tcPr>
          <w:p w14:paraId="2D6A023E" w14:textId="77777777" w:rsidR="00C57CF6" w:rsidRPr="00DC32B8" w:rsidRDefault="00DC32B8" w:rsidP="00C57CF6">
            <w:pPr>
              <w:jc w:val="center"/>
              <w:rPr>
                <w:b/>
              </w:rPr>
            </w:pPr>
            <w:r w:rsidRPr="00DC32B8">
              <w:rPr>
                <w:b/>
              </w:rPr>
              <w:t>DUE</w:t>
            </w:r>
          </w:p>
        </w:tc>
      </w:tr>
      <w:tr w:rsidR="00DC32B8" w14:paraId="0147F1A0" w14:textId="77777777" w:rsidTr="00E17B5F">
        <w:tc>
          <w:tcPr>
            <w:tcW w:w="2070" w:type="dxa"/>
          </w:tcPr>
          <w:p w14:paraId="2319DFA5" w14:textId="77777777" w:rsidR="00DC32B8" w:rsidRPr="00427077" w:rsidRDefault="00DC32B8" w:rsidP="00DC32B8">
            <w:pPr>
              <w:rPr>
                <w:sz w:val="20"/>
                <w:szCs w:val="22"/>
              </w:rPr>
            </w:pPr>
            <w:r w:rsidRPr="00427077">
              <w:rPr>
                <w:sz w:val="20"/>
                <w:szCs w:val="22"/>
              </w:rPr>
              <w:t>Key Personnel Contact Information</w:t>
            </w:r>
          </w:p>
        </w:tc>
        <w:tc>
          <w:tcPr>
            <w:tcW w:w="6660" w:type="dxa"/>
          </w:tcPr>
          <w:p w14:paraId="32A57357" w14:textId="77777777" w:rsidR="00DC32B8" w:rsidRPr="00427077" w:rsidRDefault="00DC32B8" w:rsidP="00A96417">
            <w:pPr>
              <w:jc w:val="both"/>
              <w:rPr>
                <w:sz w:val="20"/>
                <w:szCs w:val="22"/>
              </w:rPr>
            </w:pPr>
            <w:r w:rsidRPr="00427077">
              <w:rPr>
                <w:sz w:val="20"/>
                <w:szCs w:val="22"/>
              </w:rPr>
              <w:t>Provide a list of all</w:t>
            </w:r>
            <w:r w:rsidR="0096427C" w:rsidRPr="00427077">
              <w:rPr>
                <w:sz w:val="20"/>
                <w:szCs w:val="22"/>
              </w:rPr>
              <w:t xml:space="preserve"> Key Contractor Personnel with c</w:t>
            </w:r>
            <w:r w:rsidRPr="00427077">
              <w:rPr>
                <w:sz w:val="20"/>
                <w:szCs w:val="22"/>
              </w:rPr>
              <w:t>ontact Information to include name, title, address, phone number</w:t>
            </w:r>
            <w:r w:rsidR="0096427C" w:rsidRPr="00427077">
              <w:rPr>
                <w:sz w:val="20"/>
                <w:szCs w:val="22"/>
              </w:rPr>
              <w:t>(s)</w:t>
            </w:r>
            <w:r w:rsidRPr="00427077">
              <w:rPr>
                <w:sz w:val="20"/>
                <w:szCs w:val="22"/>
              </w:rPr>
              <w:t>, fax number, and email address.</w:t>
            </w:r>
          </w:p>
        </w:tc>
        <w:tc>
          <w:tcPr>
            <w:tcW w:w="2070" w:type="dxa"/>
          </w:tcPr>
          <w:p w14:paraId="1046A581" w14:textId="77777777" w:rsidR="00DC32B8" w:rsidRPr="00427077" w:rsidRDefault="00DC32B8" w:rsidP="00A96417">
            <w:pPr>
              <w:jc w:val="both"/>
              <w:rPr>
                <w:sz w:val="20"/>
                <w:szCs w:val="22"/>
              </w:rPr>
            </w:pPr>
            <w:r w:rsidRPr="00427077">
              <w:rPr>
                <w:sz w:val="20"/>
                <w:szCs w:val="22"/>
              </w:rPr>
              <w:t>Update as needed.</w:t>
            </w:r>
            <w:r w:rsidR="008F4E24" w:rsidRPr="00427077">
              <w:rPr>
                <w:sz w:val="20"/>
                <w:szCs w:val="22"/>
              </w:rPr>
              <w:t xml:space="preserve"> </w:t>
            </w:r>
          </w:p>
        </w:tc>
      </w:tr>
      <w:tr w:rsidR="00DC32B8" w14:paraId="76CA04EE" w14:textId="77777777" w:rsidTr="00E17B5F">
        <w:trPr>
          <w:trHeight w:val="1124"/>
        </w:trPr>
        <w:tc>
          <w:tcPr>
            <w:tcW w:w="2070" w:type="dxa"/>
          </w:tcPr>
          <w:p w14:paraId="400D3D99" w14:textId="77777777" w:rsidR="00DC32B8" w:rsidRPr="00427077" w:rsidRDefault="00DC32B8" w:rsidP="00DC32B8">
            <w:pPr>
              <w:rPr>
                <w:sz w:val="20"/>
                <w:szCs w:val="22"/>
              </w:rPr>
            </w:pPr>
            <w:r w:rsidRPr="00427077">
              <w:rPr>
                <w:sz w:val="20"/>
                <w:szCs w:val="22"/>
              </w:rPr>
              <w:t>Independent Certified Audit Report</w:t>
            </w:r>
          </w:p>
        </w:tc>
        <w:tc>
          <w:tcPr>
            <w:tcW w:w="6660" w:type="dxa"/>
          </w:tcPr>
          <w:p w14:paraId="5700F272" w14:textId="77777777" w:rsidR="0096427C" w:rsidRPr="00427077" w:rsidRDefault="00DC32B8" w:rsidP="00C80259">
            <w:pPr>
              <w:jc w:val="both"/>
              <w:rPr>
                <w:sz w:val="20"/>
                <w:szCs w:val="22"/>
              </w:rPr>
            </w:pPr>
            <w:r w:rsidRPr="00427077">
              <w:rPr>
                <w:sz w:val="20"/>
                <w:szCs w:val="22"/>
              </w:rPr>
              <w:t xml:space="preserve">Submit a copy of independent certified audit report within thirty (30) calendar days after its receipt by the Contractor and not later than </w:t>
            </w:r>
            <w:r w:rsidR="00A96417" w:rsidRPr="00427077">
              <w:rPr>
                <w:sz w:val="20"/>
                <w:szCs w:val="22"/>
              </w:rPr>
              <w:t xml:space="preserve">9 months </w:t>
            </w:r>
            <w:r w:rsidR="0096427C" w:rsidRPr="00427077">
              <w:rPr>
                <w:sz w:val="20"/>
                <w:szCs w:val="22"/>
              </w:rPr>
              <w:t>after the end date of the</w:t>
            </w:r>
            <w:r w:rsidRPr="00427077">
              <w:rPr>
                <w:sz w:val="20"/>
                <w:szCs w:val="22"/>
              </w:rPr>
              <w:t xml:space="preserve"> </w:t>
            </w:r>
            <w:r w:rsidR="00C80259">
              <w:rPr>
                <w:sz w:val="20"/>
                <w:szCs w:val="22"/>
              </w:rPr>
              <w:t>C2 GPS Fiscal Year</w:t>
            </w:r>
            <w:r w:rsidR="0096427C" w:rsidRPr="00427077">
              <w:rPr>
                <w:sz w:val="20"/>
                <w:szCs w:val="22"/>
              </w:rPr>
              <w:t>.</w:t>
            </w:r>
          </w:p>
        </w:tc>
        <w:tc>
          <w:tcPr>
            <w:tcW w:w="2070" w:type="dxa"/>
          </w:tcPr>
          <w:p w14:paraId="5A61D8E1" w14:textId="77777777" w:rsidR="00DC32B8" w:rsidRPr="00427077" w:rsidRDefault="00DC32B8" w:rsidP="00A96417">
            <w:pPr>
              <w:jc w:val="both"/>
              <w:rPr>
                <w:sz w:val="20"/>
                <w:szCs w:val="22"/>
              </w:rPr>
            </w:pPr>
            <w:r w:rsidRPr="00427077">
              <w:rPr>
                <w:sz w:val="20"/>
                <w:szCs w:val="22"/>
              </w:rPr>
              <w:t>Annually</w:t>
            </w:r>
          </w:p>
        </w:tc>
      </w:tr>
      <w:tr w:rsidR="00BF248F" w14:paraId="225A964C" w14:textId="77777777" w:rsidTr="003804A2">
        <w:trPr>
          <w:trHeight w:val="5777"/>
        </w:trPr>
        <w:tc>
          <w:tcPr>
            <w:tcW w:w="2070" w:type="dxa"/>
          </w:tcPr>
          <w:p w14:paraId="3F2C0C75" w14:textId="77777777" w:rsidR="00BF248F" w:rsidRPr="00427077" w:rsidRDefault="00BF248F" w:rsidP="00DC32B8">
            <w:pPr>
              <w:rPr>
                <w:sz w:val="20"/>
                <w:szCs w:val="22"/>
              </w:rPr>
            </w:pPr>
            <w:r w:rsidRPr="00427077">
              <w:rPr>
                <w:sz w:val="20"/>
                <w:szCs w:val="22"/>
              </w:rPr>
              <w:t>Monthly Contractor Report</w:t>
            </w:r>
          </w:p>
        </w:tc>
        <w:tc>
          <w:tcPr>
            <w:tcW w:w="6660" w:type="dxa"/>
          </w:tcPr>
          <w:p w14:paraId="17E6B0DC" w14:textId="77777777" w:rsidR="00BF248F" w:rsidRPr="00427077" w:rsidRDefault="00BF248F" w:rsidP="006E2168">
            <w:pPr>
              <w:rPr>
                <w:sz w:val="20"/>
                <w:szCs w:val="22"/>
              </w:rPr>
            </w:pPr>
            <w:r w:rsidRPr="00427077">
              <w:rPr>
                <w:sz w:val="20"/>
                <w:szCs w:val="22"/>
              </w:rPr>
              <w:t xml:space="preserve">1.  Financial Report which includes the following:                                                 </w:t>
            </w:r>
          </w:p>
          <w:p w14:paraId="081B9EEC" w14:textId="77777777" w:rsidR="00BF248F" w:rsidRPr="00427077" w:rsidRDefault="00BF248F" w:rsidP="006E2168">
            <w:pPr>
              <w:rPr>
                <w:sz w:val="20"/>
                <w:szCs w:val="22"/>
              </w:rPr>
            </w:pPr>
            <w:r w:rsidRPr="00427077">
              <w:rPr>
                <w:sz w:val="20"/>
                <w:szCs w:val="22"/>
              </w:rPr>
              <w:t xml:space="preserve">     A.  Report Expenditures overall            </w:t>
            </w:r>
          </w:p>
          <w:p w14:paraId="26AC83A6" w14:textId="77777777" w:rsidR="00BF248F" w:rsidRPr="00427077" w:rsidRDefault="00BF248F" w:rsidP="006E2168">
            <w:pPr>
              <w:rPr>
                <w:sz w:val="20"/>
                <w:szCs w:val="22"/>
              </w:rPr>
            </w:pPr>
            <w:r w:rsidRPr="00427077">
              <w:rPr>
                <w:sz w:val="20"/>
                <w:szCs w:val="22"/>
              </w:rPr>
              <w:t xml:space="preserve">     B.  Monthly Request for Payment                                                  </w:t>
            </w:r>
          </w:p>
          <w:p w14:paraId="43434ED2" w14:textId="77777777" w:rsidR="00BF248F" w:rsidRPr="00427077" w:rsidRDefault="00BF248F" w:rsidP="006E2168">
            <w:pPr>
              <w:rPr>
                <w:sz w:val="20"/>
                <w:szCs w:val="22"/>
              </w:rPr>
            </w:pPr>
            <w:r w:rsidRPr="00427077">
              <w:rPr>
                <w:sz w:val="20"/>
                <w:szCs w:val="22"/>
              </w:rPr>
              <w:t xml:space="preserve">     C.  Numerical Variance Report of Budgeted   </w:t>
            </w:r>
          </w:p>
          <w:p w14:paraId="0833AE20" w14:textId="77777777" w:rsidR="00BF248F" w:rsidRPr="00427077" w:rsidRDefault="00BF248F" w:rsidP="006E2168">
            <w:pPr>
              <w:rPr>
                <w:sz w:val="20"/>
                <w:szCs w:val="22"/>
              </w:rPr>
            </w:pPr>
            <w:r w:rsidRPr="00427077">
              <w:rPr>
                <w:sz w:val="20"/>
                <w:szCs w:val="22"/>
              </w:rPr>
              <w:t xml:space="preserve">          Expenditures vs. Actual Expenditures</w:t>
            </w:r>
          </w:p>
          <w:p w14:paraId="41ABC150" w14:textId="77777777" w:rsidR="00A96417" w:rsidRPr="00427077" w:rsidRDefault="00BF248F" w:rsidP="00D851B7">
            <w:pPr>
              <w:rPr>
                <w:sz w:val="20"/>
                <w:szCs w:val="22"/>
              </w:rPr>
            </w:pPr>
            <w:r w:rsidRPr="00427077">
              <w:rPr>
                <w:sz w:val="20"/>
                <w:szCs w:val="22"/>
              </w:rPr>
              <w:t xml:space="preserve">2.  Programmatic Report: </w:t>
            </w:r>
          </w:p>
          <w:p w14:paraId="75240309" w14:textId="617E8F43" w:rsidR="00A96417" w:rsidRPr="00427077" w:rsidRDefault="00BC071E" w:rsidP="006E2168">
            <w:pPr>
              <w:pStyle w:val="ListParagraph"/>
              <w:numPr>
                <w:ilvl w:val="0"/>
                <w:numId w:val="1"/>
              </w:numPr>
              <w:ind w:left="695"/>
              <w:jc w:val="both"/>
              <w:rPr>
                <w:color w:val="000000" w:themeColor="text1"/>
                <w:sz w:val="20"/>
                <w:szCs w:val="22"/>
              </w:rPr>
            </w:pPr>
            <w:r w:rsidRPr="00427077">
              <w:rPr>
                <w:color w:val="000000" w:themeColor="text1"/>
                <w:sz w:val="20"/>
                <w:szCs w:val="22"/>
              </w:rPr>
              <w:t>W</w:t>
            </w:r>
            <w:r w:rsidR="00A96417" w:rsidRPr="00427077">
              <w:rPr>
                <w:color w:val="000000" w:themeColor="text1"/>
                <w:sz w:val="20"/>
                <w:szCs w:val="22"/>
              </w:rPr>
              <w:t>ritten reports, material and data which will communicate</w:t>
            </w:r>
            <w:r w:rsidR="006E2168" w:rsidRPr="00427077">
              <w:rPr>
                <w:color w:val="000000" w:themeColor="text1"/>
                <w:sz w:val="20"/>
                <w:szCs w:val="22"/>
              </w:rPr>
              <w:t xml:space="preserve"> </w:t>
            </w:r>
            <w:r w:rsidR="00F478A1" w:rsidRPr="00427077">
              <w:rPr>
                <w:color w:val="000000" w:themeColor="text1"/>
                <w:sz w:val="20"/>
                <w:szCs w:val="22"/>
              </w:rPr>
              <w:t xml:space="preserve">the dashboard indicators, </w:t>
            </w:r>
            <w:r w:rsidR="006E2168" w:rsidRPr="00427077">
              <w:rPr>
                <w:color w:val="000000" w:themeColor="text1"/>
                <w:sz w:val="20"/>
                <w:szCs w:val="22"/>
              </w:rPr>
              <w:t>an overview of</w:t>
            </w:r>
            <w:r w:rsidR="00A96417" w:rsidRPr="00427077">
              <w:rPr>
                <w:color w:val="000000" w:themeColor="text1"/>
                <w:sz w:val="20"/>
                <w:szCs w:val="22"/>
              </w:rPr>
              <w:t xml:space="preserve"> progress on go</w:t>
            </w:r>
            <w:r w:rsidR="006E2168" w:rsidRPr="00427077">
              <w:rPr>
                <w:color w:val="000000" w:themeColor="text1"/>
                <w:sz w:val="20"/>
                <w:szCs w:val="22"/>
              </w:rPr>
              <w:t xml:space="preserve">als, measures and deliverables to include all funding sources, grants, </w:t>
            </w:r>
            <w:r w:rsidR="00F478A1" w:rsidRPr="00427077">
              <w:rPr>
                <w:color w:val="000000" w:themeColor="text1"/>
                <w:sz w:val="20"/>
                <w:szCs w:val="22"/>
              </w:rPr>
              <w:t xml:space="preserve">partners, </w:t>
            </w:r>
            <w:r w:rsidR="006E2168" w:rsidRPr="00427077">
              <w:rPr>
                <w:color w:val="000000" w:themeColor="text1"/>
                <w:sz w:val="20"/>
                <w:szCs w:val="22"/>
              </w:rPr>
              <w:t>spe</w:t>
            </w:r>
            <w:r w:rsidR="00F63D78" w:rsidRPr="00427077">
              <w:rPr>
                <w:color w:val="000000" w:themeColor="text1"/>
                <w:sz w:val="20"/>
                <w:szCs w:val="22"/>
              </w:rPr>
              <w:t xml:space="preserve">cial projects. This shall include the </w:t>
            </w:r>
            <w:r w:rsidR="0004612C">
              <w:rPr>
                <w:color w:val="000000" w:themeColor="text1"/>
                <w:sz w:val="20"/>
                <w:szCs w:val="22"/>
              </w:rPr>
              <w:t>leading indicator performance measures developed</w:t>
            </w:r>
            <w:r w:rsidR="0012589D">
              <w:rPr>
                <w:color w:val="000000" w:themeColor="text1"/>
                <w:sz w:val="20"/>
                <w:szCs w:val="22"/>
              </w:rPr>
              <w:t xml:space="preserve"> </w:t>
            </w:r>
            <w:r w:rsidR="00F63D78" w:rsidRPr="00427077">
              <w:rPr>
                <w:color w:val="000000" w:themeColor="text1"/>
                <w:sz w:val="20"/>
                <w:szCs w:val="22"/>
              </w:rPr>
              <w:t>included in the narrative RFP</w:t>
            </w:r>
            <w:r w:rsidR="0004612C">
              <w:rPr>
                <w:color w:val="000000" w:themeColor="text1"/>
                <w:sz w:val="20"/>
                <w:szCs w:val="22"/>
              </w:rPr>
              <w:t xml:space="preserve"> (Section 6.22)</w:t>
            </w:r>
            <w:r w:rsidR="00F63D78" w:rsidRPr="00427077">
              <w:rPr>
                <w:color w:val="000000" w:themeColor="text1"/>
                <w:sz w:val="20"/>
                <w:szCs w:val="22"/>
              </w:rPr>
              <w:t xml:space="preserve"> (Not to exceed 12</w:t>
            </w:r>
            <w:r w:rsidR="006E2168" w:rsidRPr="00427077">
              <w:rPr>
                <w:color w:val="000000" w:themeColor="text1"/>
                <w:sz w:val="20"/>
                <w:szCs w:val="22"/>
              </w:rPr>
              <w:t xml:space="preserve"> Pages)</w:t>
            </w:r>
          </w:p>
          <w:p w14:paraId="01955C78" w14:textId="77777777" w:rsidR="00A50162" w:rsidRPr="00427077" w:rsidRDefault="00F63D78" w:rsidP="006E2168">
            <w:pPr>
              <w:pStyle w:val="ListParagraph"/>
              <w:numPr>
                <w:ilvl w:val="0"/>
                <w:numId w:val="1"/>
              </w:numPr>
              <w:ind w:left="695"/>
              <w:jc w:val="both"/>
              <w:rPr>
                <w:color w:val="000000" w:themeColor="text1"/>
                <w:sz w:val="20"/>
                <w:szCs w:val="22"/>
              </w:rPr>
            </w:pPr>
            <w:r w:rsidRPr="00427077">
              <w:rPr>
                <w:color w:val="000000" w:themeColor="text1"/>
                <w:sz w:val="20"/>
                <w:szCs w:val="22"/>
              </w:rPr>
              <w:t xml:space="preserve">Written summary of </w:t>
            </w:r>
            <w:r w:rsidR="00A50162" w:rsidRPr="00427077">
              <w:rPr>
                <w:color w:val="000000" w:themeColor="text1"/>
                <w:sz w:val="20"/>
                <w:szCs w:val="22"/>
              </w:rPr>
              <w:t>continuous</w:t>
            </w:r>
            <w:r w:rsidR="006214F8" w:rsidRPr="00427077">
              <w:rPr>
                <w:color w:val="000000" w:themeColor="text1"/>
                <w:sz w:val="20"/>
                <w:szCs w:val="22"/>
              </w:rPr>
              <w:t xml:space="preserve"> </w:t>
            </w:r>
            <w:r w:rsidR="00A50162" w:rsidRPr="00427077">
              <w:rPr>
                <w:color w:val="000000" w:themeColor="text1"/>
                <w:sz w:val="20"/>
                <w:szCs w:val="22"/>
              </w:rPr>
              <w:t>quality improve</w:t>
            </w:r>
            <w:r w:rsidRPr="00427077">
              <w:rPr>
                <w:color w:val="000000" w:themeColor="text1"/>
                <w:sz w:val="20"/>
                <w:szCs w:val="22"/>
              </w:rPr>
              <w:t>ment activities and progress for staff.</w:t>
            </w:r>
          </w:p>
          <w:p w14:paraId="0D1A5B4B" w14:textId="6288AFAF" w:rsidR="00F478A1" w:rsidRDefault="00F478A1" w:rsidP="006E2168">
            <w:pPr>
              <w:pStyle w:val="ListParagraph"/>
              <w:numPr>
                <w:ilvl w:val="0"/>
                <w:numId w:val="1"/>
              </w:numPr>
              <w:ind w:left="695"/>
              <w:jc w:val="both"/>
              <w:rPr>
                <w:color w:val="000000" w:themeColor="text1"/>
                <w:sz w:val="20"/>
                <w:szCs w:val="22"/>
              </w:rPr>
            </w:pPr>
            <w:r w:rsidRPr="00427077">
              <w:rPr>
                <w:color w:val="000000" w:themeColor="text1"/>
                <w:sz w:val="20"/>
                <w:szCs w:val="22"/>
              </w:rPr>
              <w:t>Dashboard indicators will be adjusted as necessary with input from contractor and Board.  Initially sh</w:t>
            </w:r>
            <w:r w:rsidR="00CF4618" w:rsidRPr="00427077">
              <w:rPr>
                <w:color w:val="000000" w:themeColor="text1"/>
                <w:sz w:val="20"/>
                <w:szCs w:val="22"/>
              </w:rPr>
              <w:t xml:space="preserve">all include: </w:t>
            </w:r>
            <w:r w:rsidR="00325D6A" w:rsidRPr="00427077">
              <w:rPr>
                <w:color w:val="000000" w:themeColor="text1"/>
                <w:sz w:val="20"/>
                <w:szCs w:val="22"/>
              </w:rPr>
              <w:t xml:space="preserve">  </w:t>
            </w:r>
            <w:r w:rsidR="00C57CF6" w:rsidRPr="00427077">
              <w:rPr>
                <w:color w:val="000000" w:themeColor="text1"/>
                <w:sz w:val="20"/>
                <w:szCs w:val="22"/>
              </w:rPr>
              <w:t xml:space="preserve">#’s of employed, job orders, businesses served and new businesses using </w:t>
            </w:r>
            <w:r w:rsidR="0004612C">
              <w:rPr>
                <w:color w:val="000000" w:themeColor="text1"/>
                <w:sz w:val="20"/>
                <w:szCs w:val="22"/>
              </w:rPr>
              <w:t>CSBCC</w:t>
            </w:r>
            <w:r w:rsidR="0004612C" w:rsidRPr="00427077">
              <w:rPr>
                <w:color w:val="000000" w:themeColor="text1"/>
                <w:sz w:val="20"/>
                <w:szCs w:val="22"/>
              </w:rPr>
              <w:t xml:space="preserve"> </w:t>
            </w:r>
            <w:r w:rsidR="00C57CF6" w:rsidRPr="00427077">
              <w:rPr>
                <w:color w:val="000000" w:themeColor="text1"/>
                <w:sz w:val="20"/>
                <w:szCs w:val="22"/>
              </w:rPr>
              <w:t xml:space="preserve">services.  </w:t>
            </w:r>
          </w:p>
          <w:p w14:paraId="472CFD2D" w14:textId="77777777" w:rsidR="00884805" w:rsidRPr="00427077" w:rsidRDefault="00884805" w:rsidP="006E2168">
            <w:pPr>
              <w:pStyle w:val="ListParagraph"/>
              <w:numPr>
                <w:ilvl w:val="0"/>
                <w:numId w:val="1"/>
              </w:numPr>
              <w:ind w:left="695"/>
              <w:jc w:val="both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 xml:space="preserve">Written summary for CSB’s mandated partners including updates to partner strategies to coordinate and deliver services, participant outcomes, partner success stories, and highlights of services coordination efforts. </w:t>
            </w:r>
          </w:p>
          <w:p w14:paraId="23F97247" w14:textId="77777777" w:rsidR="00C57CF6" w:rsidRPr="00427077" w:rsidRDefault="00C57CF6" w:rsidP="006E2168">
            <w:pPr>
              <w:pStyle w:val="ListParagraph"/>
              <w:numPr>
                <w:ilvl w:val="0"/>
                <w:numId w:val="1"/>
              </w:numPr>
              <w:ind w:left="695"/>
              <w:jc w:val="both"/>
              <w:rPr>
                <w:color w:val="000000" w:themeColor="text1"/>
                <w:sz w:val="20"/>
                <w:szCs w:val="22"/>
              </w:rPr>
            </w:pPr>
            <w:r w:rsidRPr="00427077">
              <w:rPr>
                <w:color w:val="000000" w:themeColor="text1"/>
                <w:sz w:val="20"/>
                <w:szCs w:val="22"/>
              </w:rPr>
              <w:t>Other reports as determined by BWDB</w:t>
            </w:r>
          </w:p>
          <w:p w14:paraId="33A1D9D9" w14:textId="047BE6BB" w:rsidR="00BF248F" w:rsidRPr="00427077" w:rsidRDefault="00325D6A" w:rsidP="004260BC">
            <w:pPr>
              <w:jc w:val="both"/>
              <w:rPr>
                <w:sz w:val="20"/>
                <w:szCs w:val="22"/>
              </w:rPr>
            </w:pPr>
            <w:r w:rsidRPr="00427077">
              <w:rPr>
                <w:color w:val="000000" w:themeColor="text1"/>
                <w:sz w:val="20"/>
                <w:szCs w:val="22"/>
              </w:rPr>
              <w:t xml:space="preserve">3 </w:t>
            </w:r>
            <w:r w:rsidR="00C57CF6" w:rsidRPr="00427077">
              <w:rPr>
                <w:color w:val="000000" w:themeColor="text1"/>
                <w:sz w:val="20"/>
                <w:szCs w:val="22"/>
              </w:rPr>
              <w:t xml:space="preserve">Reporting will include participation in the </w:t>
            </w:r>
            <w:r w:rsidR="0004612C">
              <w:rPr>
                <w:color w:val="000000" w:themeColor="text1"/>
                <w:sz w:val="20"/>
                <w:szCs w:val="22"/>
              </w:rPr>
              <w:t xml:space="preserve">Senior/Senior </w:t>
            </w:r>
            <w:r w:rsidR="00DD7ADC">
              <w:rPr>
                <w:color w:val="000000" w:themeColor="text1"/>
                <w:sz w:val="20"/>
                <w:szCs w:val="22"/>
              </w:rPr>
              <w:t xml:space="preserve">quarterly </w:t>
            </w:r>
            <w:r w:rsidR="00C57CF6" w:rsidRPr="00427077">
              <w:rPr>
                <w:color w:val="000000" w:themeColor="text1"/>
                <w:sz w:val="20"/>
                <w:szCs w:val="22"/>
              </w:rPr>
              <w:t xml:space="preserve">meeting scheduled to present and discuss performance and coordination. </w:t>
            </w:r>
          </w:p>
        </w:tc>
        <w:tc>
          <w:tcPr>
            <w:tcW w:w="2070" w:type="dxa"/>
          </w:tcPr>
          <w:p w14:paraId="632F1B51" w14:textId="77777777" w:rsidR="00BF248F" w:rsidRPr="00427077" w:rsidRDefault="00BF248F" w:rsidP="00BF248F">
            <w:pPr>
              <w:rPr>
                <w:sz w:val="20"/>
                <w:szCs w:val="22"/>
              </w:rPr>
            </w:pPr>
            <w:r w:rsidRPr="00427077">
              <w:rPr>
                <w:sz w:val="20"/>
                <w:szCs w:val="22"/>
              </w:rPr>
              <w:t>Monthly –</w:t>
            </w:r>
          </w:p>
          <w:p w14:paraId="2137E930" w14:textId="77777777" w:rsidR="00BF248F" w:rsidRPr="00427077" w:rsidRDefault="00BF248F" w:rsidP="00BF248F">
            <w:pPr>
              <w:rPr>
                <w:sz w:val="20"/>
                <w:szCs w:val="22"/>
              </w:rPr>
            </w:pPr>
          </w:p>
          <w:p w14:paraId="78F9AC74" w14:textId="77777777" w:rsidR="00BF248F" w:rsidRPr="00427077" w:rsidRDefault="00BF248F" w:rsidP="00BF248F">
            <w:pPr>
              <w:rPr>
                <w:sz w:val="20"/>
                <w:szCs w:val="22"/>
              </w:rPr>
            </w:pPr>
            <w:r w:rsidRPr="00427077">
              <w:rPr>
                <w:sz w:val="20"/>
                <w:szCs w:val="22"/>
              </w:rPr>
              <w:t>1</w:t>
            </w:r>
            <w:r w:rsidR="00A96417" w:rsidRPr="00427077">
              <w:rPr>
                <w:sz w:val="20"/>
                <w:szCs w:val="22"/>
              </w:rPr>
              <w:t>0</w:t>
            </w:r>
            <w:r w:rsidRPr="00427077">
              <w:rPr>
                <w:sz w:val="20"/>
                <w:szCs w:val="22"/>
                <w:vertAlign w:val="superscript"/>
              </w:rPr>
              <w:t>th</w:t>
            </w:r>
            <w:r w:rsidRPr="00427077">
              <w:rPr>
                <w:sz w:val="20"/>
                <w:szCs w:val="22"/>
              </w:rPr>
              <w:t xml:space="preserve"> of each month for the previous month’s activities</w:t>
            </w:r>
          </w:p>
          <w:p w14:paraId="1D59CC10" w14:textId="77777777" w:rsidR="00BF248F" w:rsidRPr="00427077" w:rsidRDefault="00BF248F" w:rsidP="00BF248F">
            <w:pPr>
              <w:rPr>
                <w:sz w:val="20"/>
                <w:szCs w:val="22"/>
              </w:rPr>
            </w:pPr>
          </w:p>
          <w:p w14:paraId="18F64746" w14:textId="77777777" w:rsidR="00BF248F" w:rsidRPr="00427077" w:rsidRDefault="00D72965" w:rsidP="00C57CF6">
            <w:pPr>
              <w:rPr>
                <w:sz w:val="20"/>
                <w:szCs w:val="22"/>
              </w:rPr>
            </w:pPr>
            <w:r w:rsidRPr="00427077">
              <w:rPr>
                <w:sz w:val="20"/>
                <w:szCs w:val="22"/>
              </w:rPr>
              <w:t>15</w:t>
            </w:r>
            <w:r w:rsidR="00BF248F" w:rsidRPr="00427077">
              <w:rPr>
                <w:sz w:val="20"/>
                <w:szCs w:val="22"/>
                <w:vertAlign w:val="superscript"/>
              </w:rPr>
              <w:t>th</w:t>
            </w:r>
            <w:r w:rsidR="00BF248F" w:rsidRPr="00427077">
              <w:rPr>
                <w:sz w:val="20"/>
                <w:szCs w:val="22"/>
              </w:rPr>
              <w:t xml:space="preserve"> of each month </w:t>
            </w:r>
          </w:p>
          <w:p w14:paraId="3B190A84" w14:textId="77777777" w:rsidR="00C57CF6" w:rsidRPr="00427077" w:rsidRDefault="00C57CF6" w:rsidP="00C57CF6">
            <w:pPr>
              <w:rPr>
                <w:sz w:val="20"/>
                <w:szCs w:val="22"/>
              </w:rPr>
            </w:pPr>
          </w:p>
          <w:p w14:paraId="4AB54BBC" w14:textId="77777777" w:rsidR="00C57CF6" w:rsidRPr="00427077" w:rsidRDefault="00C57CF6" w:rsidP="00C57CF6">
            <w:pPr>
              <w:rPr>
                <w:sz w:val="20"/>
                <w:szCs w:val="22"/>
              </w:rPr>
            </w:pPr>
          </w:p>
          <w:p w14:paraId="282746B6" w14:textId="77777777" w:rsidR="00C57CF6" w:rsidRPr="00427077" w:rsidRDefault="00C57CF6" w:rsidP="00C57CF6">
            <w:pPr>
              <w:rPr>
                <w:sz w:val="20"/>
                <w:szCs w:val="22"/>
              </w:rPr>
            </w:pPr>
          </w:p>
          <w:p w14:paraId="05D07EAD" w14:textId="77777777" w:rsidR="00C57CF6" w:rsidRPr="00427077" w:rsidRDefault="00C57CF6" w:rsidP="00C57CF6">
            <w:pPr>
              <w:rPr>
                <w:sz w:val="20"/>
                <w:szCs w:val="22"/>
              </w:rPr>
            </w:pPr>
          </w:p>
          <w:p w14:paraId="2A985C0F" w14:textId="77777777" w:rsidR="00C57CF6" w:rsidRPr="00427077" w:rsidRDefault="00C57CF6" w:rsidP="00C57CF6">
            <w:pPr>
              <w:rPr>
                <w:sz w:val="20"/>
                <w:szCs w:val="22"/>
              </w:rPr>
            </w:pPr>
          </w:p>
          <w:p w14:paraId="3210818B" w14:textId="77777777" w:rsidR="00C57CF6" w:rsidRPr="00427077" w:rsidRDefault="00C57CF6" w:rsidP="00C57CF6">
            <w:pPr>
              <w:rPr>
                <w:sz w:val="20"/>
                <w:szCs w:val="22"/>
              </w:rPr>
            </w:pPr>
          </w:p>
          <w:p w14:paraId="3E468005" w14:textId="77777777" w:rsidR="00C57CF6" w:rsidRPr="00427077" w:rsidRDefault="00C57CF6" w:rsidP="00C57CF6">
            <w:pPr>
              <w:rPr>
                <w:sz w:val="20"/>
                <w:szCs w:val="22"/>
              </w:rPr>
            </w:pPr>
          </w:p>
          <w:p w14:paraId="31AA2772" w14:textId="77777777" w:rsidR="00C57CF6" w:rsidRPr="00427077" w:rsidRDefault="00C57CF6" w:rsidP="00C57CF6">
            <w:pPr>
              <w:rPr>
                <w:sz w:val="20"/>
                <w:szCs w:val="22"/>
              </w:rPr>
            </w:pPr>
          </w:p>
          <w:p w14:paraId="67B7FBE8" w14:textId="77777777" w:rsidR="00C57CF6" w:rsidRPr="00427077" w:rsidRDefault="00C57CF6" w:rsidP="00C57CF6">
            <w:pPr>
              <w:rPr>
                <w:sz w:val="20"/>
                <w:szCs w:val="22"/>
              </w:rPr>
            </w:pPr>
          </w:p>
          <w:p w14:paraId="1847D5AA" w14:textId="77777777" w:rsidR="00C57CF6" w:rsidRPr="00427077" w:rsidRDefault="00C57CF6" w:rsidP="00C57CF6">
            <w:pPr>
              <w:rPr>
                <w:sz w:val="20"/>
                <w:szCs w:val="22"/>
              </w:rPr>
            </w:pPr>
          </w:p>
          <w:p w14:paraId="16DCA131" w14:textId="77777777" w:rsidR="00C57CF6" w:rsidRPr="00427077" w:rsidRDefault="00C57CF6" w:rsidP="00C57CF6">
            <w:pPr>
              <w:rPr>
                <w:sz w:val="20"/>
                <w:szCs w:val="22"/>
              </w:rPr>
            </w:pPr>
          </w:p>
          <w:p w14:paraId="2920A4C0" w14:textId="77777777" w:rsidR="00C57CF6" w:rsidRPr="00427077" w:rsidRDefault="00C57CF6" w:rsidP="00C57CF6">
            <w:pPr>
              <w:rPr>
                <w:sz w:val="20"/>
                <w:szCs w:val="22"/>
              </w:rPr>
            </w:pPr>
          </w:p>
          <w:p w14:paraId="645D2C52" w14:textId="77777777" w:rsidR="00C57CF6" w:rsidRPr="00427077" w:rsidRDefault="00C57CF6" w:rsidP="00C57CF6">
            <w:pPr>
              <w:rPr>
                <w:sz w:val="20"/>
                <w:szCs w:val="22"/>
              </w:rPr>
            </w:pPr>
          </w:p>
          <w:p w14:paraId="657A2612" w14:textId="77777777" w:rsidR="00C57CF6" w:rsidRPr="00427077" w:rsidRDefault="00C57CF6" w:rsidP="00C57CF6">
            <w:pPr>
              <w:rPr>
                <w:sz w:val="20"/>
                <w:szCs w:val="22"/>
              </w:rPr>
            </w:pPr>
          </w:p>
          <w:p w14:paraId="75D7D1E1" w14:textId="77777777" w:rsidR="00C57CF6" w:rsidRPr="00427077" w:rsidRDefault="00C57CF6" w:rsidP="00C57CF6">
            <w:pPr>
              <w:rPr>
                <w:sz w:val="20"/>
                <w:szCs w:val="22"/>
              </w:rPr>
            </w:pPr>
          </w:p>
          <w:p w14:paraId="3EA02FE7" w14:textId="0519CCB3" w:rsidR="00C57CF6" w:rsidRPr="00427077" w:rsidRDefault="00DD7ADC" w:rsidP="00C57CF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Quarterly based </w:t>
            </w:r>
            <w:r w:rsidR="00C57CF6" w:rsidRPr="00427077">
              <w:rPr>
                <w:sz w:val="20"/>
                <w:szCs w:val="22"/>
              </w:rPr>
              <w:t>schedule</w:t>
            </w:r>
            <w:r>
              <w:rPr>
                <w:sz w:val="20"/>
                <w:szCs w:val="22"/>
              </w:rPr>
              <w:t xml:space="preserve"> provided</w:t>
            </w:r>
            <w:r w:rsidR="00C57CF6" w:rsidRPr="00427077">
              <w:rPr>
                <w:sz w:val="20"/>
                <w:szCs w:val="22"/>
              </w:rPr>
              <w:t xml:space="preserve"> by BWDB</w:t>
            </w:r>
          </w:p>
        </w:tc>
      </w:tr>
      <w:tr w:rsidR="00427077" w14:paraId="60B7AF68" w14:textId="77777777" w:rsidTr="00E17B5F">
        <w:tc>
          <w:tcPr>
            <w:tcW w:w="2070" w:type="dxa"/>
            <w:vMerge w:val="restart"/>
          </w:tcPr>
          <w:p w14:paraId="0844B23C" w14:textId="77777777" w:rsidR="00427077" w:rsidRPr="00427077" w:rsidRDefault="00427077" w:rsidP="00DC32B8">
            <w:pPr>
              <w:rPr>
                <w:sz w:val="20"/>
                <w:szCs w:val="22"/>
              </w:rPr>
            </w:pPr>
            <w:r w:rsidRPr="00427077">
              <w:rPr>
                <w:sz w:val="20"/>
                <w:szCs w:val="22"/>
              </w:rPr>
              <w:t>Close-out Report</w:t>
            </w:r>
          </w:p>
        </w:tc>
        <w:tc>
          <w:tcPr>
            <w:tcW w:w="6660" w:type="dxa"/>
            <w:vMerge w:val="restart"/>
          </w:tcPr>
          <w:p w14:paraId="4E766C5B" w14:textId="77777777" w:rsidR="00427077" w:rsidRPr="00427077" w:rsidRDefault="00427077" w:rsidP="004E69AC">
            <w:pPr>
              <w:rPr>
                <w:sz w:val="20"/>
                <w:szCs w:val="22"/>
              </w:rPr>
            </w:pPr>
            <w:r w:rsidRPr="00427077">
              <w:rPr>
                <w:sz w:val="20"/>
                <w:szCs w:val="22"/>
              </w:rPr>
              <w:t xml:space="preserve">1.  Contract Close-out Report: Provide report </w:t>
            </w:r>
          </w:p>
          <w:p w14:paraId="3027C09E" w14:textId="77777777" w:rsidR="00427077" w:rsidRPr="00427077" w:rsidRDefault="00427077" w:rsidP="004E69AC">
            <w:pPr>
              <w:rPr>
                <w:sz w:val="20"/>
                <w:szCs w:val="22"/>
              </w:rPr>
            </w:pPr>
            <w:r w:rsidRPr="00427077">
              <w:rPr>
                <w:sz w:val="20"/>
                <w:szCs w:val="22"/>
              </w:rPr>
              <w:t xml:space="preserve">     within 15 days after contract expiration   </w:t>
            </w:r>
          </w:p>
          <w:p w14:paraId="001533E9" w14:textId="77777777" w:rsidR="00427077" w:rsidRPr="00427077" w:rsidRDefault="00427077" w:rsidP="004E69AC">
            <w:pPr>
              <w:rPr>
                <w:sz w:val="20"/>
                <w:szCs w:val="22"/>
              </w:rPr>
            </w:pPr>
            <w:r w:rsidRPr="00427077">
              <w:rPr>
                <w:sz w:val="20"/>
                <w:szCs w:val="22"/>
              </w:rPr>
              <w:t xml:space="preserve">     summarizing all payment requests, actual </w:t>
            </w:r>
          </w:p>
          <w:p w14:paraId="48752233" w14:textId="77777777" w:rsidR="00427077" w:rsidRPr="00427077" w:rsidRDefault="00427077" w:rsidP="004E69AC">
            <w:pPr>
              <w:rPr>
                <w:sz w:val="20"/>
                <w:szCs w:val="22"/>
              </w:rPr>
            </w:pPr>
            <w:r w:rsidRPr="00427077">
              <w:rPr>
                <w:sz w:val="20"/>
                <w:szCs w:val="22"/>
              </w:rPr>
              <w:t xml:space="preserve">     expenses, inventory, obligated funds by     </w:t>
            </w:r>
          </w:p>
          <w:p w14:paraId="50ADCCFA" w14:textId="77777777" w:rsidR="00427077" w:rsidRPr="00427077" w:rsidRDefault="00427077" w:rsidP="004E69AC">
            <w:pPr>
              <w:rPr>
                <w:sz w:val="20"/>
                <w:szCs w:val="22"/>
              </w:rPr>
            </w:pPr>
            <w:r w:rsidRPr="00427077">
              <w:rPr>
                <w:sz w:val="20"/>
                <w:szCs w:val="22"/>
              </w:rPr>
              <w:t xml:space="preserve">     funding source and other items requested by </w:t>
            </w:r>
          </w:p>
          <w:p w14:paraId="369D811E" w14:textId="77777777" w:rsidR="00427077" w:rsidRPr="00427077" w:rsidRDefault="00427077" w:rsidP="004E69AC">
            <w:pPr>
              <w:rPr>
                <w:sz w:val="20"/>
                <w:szCs w:val="22"/>
              </w:rPr>
            </w:pPr>
            <w:r w:rsidRPr="00427077">
              <w:rPr>
                <w:sz w:val="20"/>
                <w:szCs w:val="22"/>
              </w:rPr>
              <w:t xml:space="preserve">    BWDB.</w:t>
            </w:r>
          </w:p>
          <w:p w14:paraId="536F1DC2" w14:textId="77777777" w:rsidR="00427077" w:rsidRPr="00427077" w:rsidRDefault="00427077" w:rsidP="00427077">
            <w:pPr>
              <w:ind w:left="335" w:hanging="335"/>
              <w:rPr>
                <w:sz w:val="20"/>
                <w:szCs w:val="22"/>
              </w:rPr>
            </w:pPr>
            <w:r w:rsidRPr="00427077">
              <w:rPr>
                <w:sz w:val="20"/>
                <w:szCs w:val="22"/>
              </w:rPr>
              <w:t>2.  Close-out Budget: Provide a report of anticipated close-out costs prior to the expiration of the contract.</w:t>
            </w:r>
          </w:p>
          <w:p w14:paraId="68D58EB7" w14:textId="77777777" w:rsidR="00427077" w:rsidRPr="00427077" w:rsidRDefault="00427077" w:rsidP="00427077">
            <w:pPr>
              <w:rPr>
                <w:sz w:val="20"/>
                <w:szCs w:val="22"/>
              </w:rPr>
            </w:pPr>
            <w:r w:rsidRPr="00427077">
              <w:rPr>
                <w:sz w:val="20"/>
                <w:szCs w:val="22"/>
              </w:rPr>
              <w:t>3.  Other reports as determined by BWDB</w:t>
            </w:r>
          </w:p>
        </w:tc>
        <w:tc>
          <w:tcPr>
            <w:tcW w:w="2070" w:type="dxa"/>
          </w:tcPr>
          <w:p w14:paraId="63D0EA41" w14:textId="77777777" w:rsidR="00427077" w:rsidRPr="00427077" w:rsidRDefault="00427077" w:rsidP="00DC32B8">
            <w:pPr>
              <w:rPr>
                <w:sz w:val="20"/>
                <w:szCs w:val="22"/>
              </w:rPr>
            </w:pPr>
            <w:r w:rsidRPr="00427077">
              <w:rPr>
                <w:sz w:val="20"/>
                <w:szCs w:val="22"/>
              </w:rPr>
              <w:t>July 15 of the year contract expires or as determined by BWDB</w:t>
            </w:r>
          </w:p>
        </w:tc>
      </w:tr>
      <w:tr w:rsidR="00427077" w14:paraId="538CD885" w14:textId="77777777" w:rsidTr="00E17B5F">
        <w:tc>
          <w:tcPr>
            <w:tcW w:w="2070" w:type="dxa"/>
            <w:vMerge/>
          </w:tcPr>
          <w:p w14:paraId="01D102ED" w14:textId="77777777" w:rsidR="00427077" w:rsidRPr="00427077" w:rsidRDefault="00427077" w:rsidP="00DC32B8">
            <w:pPr>
              <w:rPr>
                <w:sz w:val="20"/>
                <w:szCs w:val="22"/>
              </w:rPr>
            </w:pPr>
          </w:p>
        </w:tc>
        <w:tc>
          <w:tcPr>
            <w:tcW w:w="6660" w:type="dxa"/>
            <w:vMerge/>
          </w:tcPr>
          <w:p w14:paraId="4A69DEEA" w14:textId="77777777" w:rsidR="00427077" w:rsidRPr="00427077" w:rsidRDefault="00427077" w:rsidP="00DC32B8">
            <w:pPr>
              <w:rPr>
                <w:sz w:val="20"/>
                <w:szCs w:val="22"/>
              </w:rPr>
            </w:pPr>
          </w:p>
        </w:tc>
        <w:tc>
          <w:tcPr>
            <w:tcW w:w="2070" w:type="dxa"/>
          </w:tcPr>
          <w:p w14:paraId="5A99A647" w14:textId="77777777" w:rsidR="00427077" w:rsidRPr="00427077" w:rsidRDefault="00427077" w:rsidP="00DC32B8">
            <w:pPr>
              <w:rPr>
                <w:sz w:val="20"/>
                <w:szCs w:val="22"/>
              </w:rPr>
            </w:pPr>
            <w:r w:rsidRPr="00427077">
              <w:rPr>
                <w:sz w:val="20"/>
                <w:szCs w:val="22"/>
              </w:rPr>
              <w:t>May 15 of the year contract expires or as determined by BWDB</w:t>
            </w:r>
          </w:p>
        </w:tc>
      </w:tr>
      <w:tr w:rsidR="00427077" w14:paraId="65856F6C" w14:textId="77777777" w:rsidTr="00E17B5F">
        <w:tc>
          <w:tcPr>
            <w:tcW w:w="2070" w:type="dxa"/>
            <w:vMerge/>
          </w:tcPr>
          <w:p w14:paraId="5D5B4147" w14:textId="77777777" w:rsidR="00427077" w:rsidRPr="00427077" w:rsidRDefault="00427077" w:rsidP="00DC32B8">
            <w:pPr>
              <w:rPr>
                <w:sz w:val="20"/>
                <w:szCs w:val="22"/>
              </w:rPr>
            </w:pPr>
          </w:p>
        </w:tc>
        <w:tc>
          <w:tcPr>
            <w:tcW w:w="6660" w:type="dxa"/>
            <w:vMerge/>
          </w:tcPr>
          <w:p w14:paraId="10E42E44" w14:textId="77777777" w:rsidR="00427077" w:rsidRPr="00427077" w:rsidRDefault="00427077" w:rsidP="00DC32B8">
            <w:pPr>
              <w:rPr>
                <w:sz w:val="20"/>
                <w:szCs w:val="22"/>
              </w:rPr>
            </w:pPr>
          </w:p>
        </w:tc>
        <w:tc>
          <w:tcPr>
            <w:tcW w:w="2070" w:type="dxa"/>
          </w:tcPr>
          <w:p w14:paraId="1CCFA8A4" w14:textId="77777777" w:rsidR="00427077" w:rsidRPr="00427077" w:rsidRDefault="00427077" w:rsidP="00DC32B8">
            <w:pPr>
              <w:rPr>
                <w:sz w:val="20"/>
                <w:szCs w:val="22"/>
              </w:rPr>
            </w:pPr>
            <w:r w:rsidRPr="00427077">
              <w:rPr>
                <w:sz w:val="20"/>
                <w:szCs w:val="22"/>
              </w:rPr>
              <w:t>TBD</w:t>
            </w:r>
          </w:p>
        </w:tc>
      </w:tr>
    </w:tbl>
    <w:p w14:paraId="35E9548D" w14:textId="77777777" w:rsidR="00F63D78" w:rsidRPr="00DC32B8" w:rsidRDefault="00F63D78" w:rsidP="004260BC"/>
    <w:sectPr w:rsidR="00F63D78" w:rsidRPr="00DC32B8" w:rsidSect="004260BC">
      <w:headerReference w:type="default" r:id="rId8"/>
      <w:footerReference w:type="default" r:id="rId9"/>
      <w:pgSz w:w="12240" w:h="15840"/>
      <w:pgMar w:top="576" w:right="1440" w:bottom="43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1343C" w14:textId="77777777" w:rsidR="00837AD0" w:rsidRDefault="00837AD0" w:rsidP="007B06FA">
      <w:r>
        <w:separator/>
      </w:r>
    </w:p>
  </w:endnote>
  <w:endnote w:type="continuationSeparator" w:id="0">
    <w:p w14:paraId="2683B7A9" w14:textId="77777777" w:rsidR="00837AD0" w:rsidRDefault="00837AD0" w:rsidP="007B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280862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A2E4455" w14:textId="77777777" w:rsidR="007B06FA" w:rsidRDefault="007B06FA" w:rsidP="007B06F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 w:rsidR="00395819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 w:rsidR="00395819">
              <w:rPr>
                <w:b/>
                <w:noProof/>
              </w:rPr>
              <w:t>2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14:paraId="2C0030A5" w14:textId="77777777" w:rsidR="007B06FA" w:rsidRDefault="007B0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D6356" w14:textId="77777777" w:rsidR="00837AD0" w:rsidRDefault="00837AD0" w:rsidP="007B06FA">
      <w:r>
        <w:separator/>
      </w:r>
    </w:p>
  </w:footnote>
  <w:footnote w:type="continuationSeparator" w:id="0">
    <w:p w14:paraId="0C3714E5" w14:textId="77777777" w:rsidR="00837AD0" w:rsidRDefault="00837AD0" w:rsidP="007B0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BEC2A" w14:textId="75D2B404" w:rsidR="00FE75ED" w:rsidRDefault="00FE75ED" w:rsidP="00FE75ED">
    <w:pPr>
      <w:pStyle w:val="Header"/>
      <w:jc w:val="right"/>
    </w:pPr>
    <w:r>
      <w:t>Contract No. CSB</w:t>
    </w:r>
    <w:r w:rsidR="00912467">
      <w:t>20-600</w:t>
    </w:r>
    <w:r>
      <w:t>-002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51D4E"/>
    <w:multiLevelType w:val="hybridMultilevel"/>
    <w:tmpl w:val="CAB40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15062"/>
    <w:multiLevelType w:val="hybridMultilevel"/>
    <w:tmpl w:val="0F6AD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01083"/>
    <w:multiLevelType w:val="hybridMultilevel"/>
    <w:tmpl w:val="3488AE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2B8"/>
    <w:rsid w:val="00004DDD"/>
    <w:rsid w:val="0003086A"/>
    <w:rsid w:val="0004612C"/>
    <w:rsid w:val="000770FF"/>
    <w:rsid w:val="000F14D9"/>
    <w:rsid w:val="0012589D"/>
    <w:rsid w:val="00177A17"/>
    <w:rsid w:val="001C4C66"/>
    <w:rsid w:val="0020709E"/>
    <w:rsid w:val="002234DC"/>
    <w:rsid w:val="002345B4"/>
    <w:rsid w:val="00251438"/>
    <w:rsid w:val="002D00B4"/>
    <w:rsid w:val="00325D6A"/>
    <w:rsid w:val="003527E8"/>
    <w:rsid w:val="00361A82"/>
    <w:rsid w:val="003804A2"/>
    <w:rsid w:val="00395819"/>
    <w:rsid w:val="004260BC"/>
    <w:rsid w:val="00427077"/>
    <w:rsid w:val="00437C32"/>
    <w:rsid w:val="00487288"/>
    <w:rsid w:val="004E69AC"/>
    <w:rsid w:val="00552EB3"/>
    <w:rsid w:val="005769E4"/>
    <w:rsid w:val="005C775F"/>
    <w:rsid w:val="006214F8"/>
    <w:rsid w:val="00626B76"/>
    <w:rsid w:val="00664764"/>
    <w:rsid w:val="00684071"/>
    <w:rsid w:val="006E2168"/>
    <w:rsid w:val="00753D40"/>
    <w:rsid w:val="007B06FA"/>
    <w:rsid w:val="00817977"/>
    <w:rsid w:val="00837AD0"/>
    <w:rsid w:val="0087327D"/>
    <w:rsid w:val="00884805"/>
    <w:rsid w:val="008E6609"/>
    <w:rsid w:val="008F4E24"/>
    <w:rsid w:val="00912467"/>
    <w:rsid w:val="00930F92"/>
    <w:rsid w:val="0096427C"/>
    <w:rsid w:val="009819FF"/>
    <w:rsid w:val="009D763C"/>
    <w:rsid w:val="009F1168"/>
    <w:rsid w:val="00A4446B"/>
    <w:rsid w:val="00A50162"/>
    <w:rsid w:val="00A96417"/>
    <w:rsid w:val="00AF1A10"/>
    <w:rsid w:val="00B11A34"/>
    <w:rsid w:val="00B639F7"/>
    <w:rsid w:val="00BB0325"/>
    <w:rsid w:val="00BC071E"/>
    <w:rsid w:val="00BF248F"/>
    <w:rsid w:val="00C24E61"/>
    <w:rsid w:val="00C57CF6"/>
    <w:rsid w:val="00C80259"/>
    <w:rsid w:val="00CB7FDF"/>
    <w:rsid w:val="00CC2DD7"/>
    <w:rsid w:val="00CF4618"/>
    <w:rsid w:val="00D4016B"/>
    <w:rsid w:val="00D72965"/>
    <w:rsid w:val="00D851B7"/>
    <w:rsid w:val="00DC32B8"/>
    <w:rsid w:val="00DD7ADC"/>
    <w:rsid w:val="00DF287A"/>
    <w:rsid w:val="00E17B5F"/>
    <w:rsid w:val="00E511A9"/>
    <w:rsid w:val="00E87FF3"/>
    <w:rsid w:val="00EE0FBB"/>
    <w:rsid w:val="00F15720"/>
    <w:rsid w:val="00F478A1"/>
    <w:rsid w:val="00F63D78"/>
    <w:rsid w:val="00F719A0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9282"/>
  <w15:docId w15:val="{FFB91173-7278-44B4-A7D4-80D40B9A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32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32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C3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6FA"/>
  </w:style>
  <w:style w:type="paragraph" w:styleId="Footer">
    <w:name w:val="footer"/>
    <w:basedOn w:val="Normal"/>
    <w:link w:val="FooterChar"/>
    <w:uiPriority w:val="99"/>
    <w:unhideWhenUsed/>
    <w:rsid w:val="007B0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6FA"/>
  </w:style>
  <w:style w:type="paragraph" w:styleId="BalloonText">
    <w:name w:val="Balloon Text"/>
    <w:basedOn w:val="Normal"/>
    <w:link w:val="BalloonTextChar"/>
    <w:uiPriority w:val="99"/>
    <w:semiHidden/>
    <w:unhideWhenUsed/>
    <w:rsid w:val="00BF2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8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86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86A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A96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A6CBC-0D5F-4BDB-A9FE-B1088439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BWDB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sbriles</dc:creator>
  <cp:lastModifiedBy>Jana Bauer</cp:lastModifiedBy>
  <cp:revision>6</cp:revision>
  <cp:lastPrinted>2018-08-22T16:25:00Z</cp:lastPrinted>
  <dcterms:created xsi:type="dcterms:W3CDTF">2021-06-15T21:32:00Z</dcterms:created>
  <dcterms:modified xsi:type="dcterms:W3CDTF">2021-06-16T12:34:00Z</dcterms:modified>
</cp:coreProperties>
</file>